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420"/>
        <w:jc w:val="center"/>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2022年同济大学与香港城市大学联合培养博士生双学位项目</w:t>
      </w:r>
    </w:p>
    <w:p>
      <w:pPr>
        <w:widowControl/>
        <w:spacing w:line="360" w:lineRule="auto"/>
        <w:ind w:firstLine="42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根据同济大学与和香港城市大学联合培养博士生双学位协议，现启动202</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年项目招生，具体流程如下：</w:t>
      </w:r>
      <w:bookmarkStart w:id="0" w:name="_GoBack"/>
      <w:bookmarkEnd w:id="0"/>
    </w:p>
    <w:p>
      <w:pPr>
        <w:widowControl/>
        <w:spacing w:line="360" w:lineRule="auto"/>
        <w:ind w:firstLine="420"/>
        <w:jc w:val="left"/>
        <w:rPr>
          <w:rFonts w:hint="eastAsia" w:ascii="宋体" w:hAnsi="宋体" w:eastAsia="宋体" w:cs="宋体"/>
          <w:kern w:val="0"/>
          <w:sz w:val="24"/>
          <w:szCs w:val="24"/>
        </w:rPr>
      </w:pP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b/>
          <w:bCs/>
          <w:color w:val="000000"/>
          <w:kern w:val="0"/>
          <w:sz w:val="24"/>
          <w:szCs w:val="24"/>
        </w:rPr>
        <w:t>报名须知</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b/>
          <w:bCs/>
          <w:color w:val="000000"/>
          <w:kern w:val="0"/>
          <w:sz w:val="24"/>
          <w:szCs w:val="24"/>
        </w:rPr>
        <w:t>一</w:t>
      </w:r>
      <w:r>
        <w:rPr>
          <w:rFonts w:hint="eastAsia" w:ascii="宋体" w:hAnsi="宋体" w:eastAsia="宋体" w:cs="宋体"/>
          <w:b/>
          <w:bCs/>
          <w:color w:val="000000"/>
          <w:kern w:val="0"/>
          <w:sz w:val="24"/>
          <w:szCs w:val="24"/>
        </w:rPr>
        <w:t>. </w:t>
      </w:r>
      <w:r>
        <w:rPr>
          <w:rFonts w:hint="eastAsia" w:ascii="宋体" w:hAnsi="宋体" w:eastAsia="宋体" w:cs="宋体"/>
          <w:b/>
          <w:bCs/>
          <w:color w:val="000000"/>
          <w:kern w:val="0"/>
          <w:sz w:val="24"/>
          <w:szCs w:val="24"/>
        </w:rPr>
        <w:t>申请资格</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1. </w:t>
      </w:r>
      <w:r>
        <w:rPr>
          <w:rFonts w:hint="eastAsia" w:ascii="宋体" w:hAnsi="宋体" w:eastAsia="宋体" w:cs="宋体"/>
          <w:color w:val="000000"/>
          <w:kern w:val="0"/>
          <w:sz w:val="24"/>
          <w:szCs w:val="24"/>
        </w:rPr>
        <w:t>我校相关学科招收的全日制非定向博士研究生（建议开题后）；</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2. </w:t>
      </w:r>
      <w:r>
        <w:rPr>
          <w:rFonts w:hint="eastAsia" w:ascii="宋体" w:hAnsi="宋体" w:eastAsia="宋体" w:cs="宋体"/>
          <w:color w:val="000000"/>
          <w:kern w:val="0"/>
          <w:sz w:val="24"/>
          <w:szCs w:val="24"/>
        </w:rPr>
        <w:t>已修课程成绩符合要求；</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3. </w:t>
      </w:r>
      <w:r>
        <w:rPr>
          <w:rFonts w:hint="eastAsia" w:ascii="宋体" w:hAnsi="宋体" w:eastAsia="宋体" w:cs="宋体"/>
          <w:color w:val="000000"/>
          <w:kern w:val="0"/>
          <w:sz w:val="24"/>
          <w:szCs w:val="24"/>
        </w:rPr>
        <w:t>导师同意并推荐；</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4. </w:t>
      </w:r>
      <w:r>
        <w:rPr>
          <w:rFonts w:hint="eastAsia" w:ascii="宋体" w:hAnsi="宋体" w:eastAsia="宋体" w:cs="宋体"/>
          <w:color w:val="000000"/>
          <w:kern w:val="0"/>
          <w:sz w:val="24"/>
          <w:szCs w:val="24"/>
        </w:rPr>
        <w:t>达到香港城市大学规定的最低英文水平要求：取得</w:t>
      </w:r>
      <w:r>
        <w:rPr>
          <w:rFonts w:hint="eastAsia" w:ascii="宋体" w:hAnsi="宋体" w:eastAsia="宋体" w:cs="宋体"/>
          <w:color w:val="000000"/>
          <w:kern w:val="0"/>
          <w:sz w:val="24"/>
          <w:szCs w:val="24"/>
        </w:rPr>
        <w:t> (i) </w:t>
      </w:r>
      <w:r>
        <w:rPr>
          <w:rFonts w:hint="eastAsia" w:ascii="宋体" w:hAnsi="宋体" w:eastAsia="宋体" w:cs="宋体"/>
          <w:color w:val="000000"/>
          <w:kern w:val="0"/>
          <w:sz w:val="24"/>
          <w:szCs w:val="24"/>
        </w:rPr>
        <w:t>托福</w:t>
      </w:r>
      <w:r>
        <w:rPr>
          <w:rFonts w:hint="eastAsia" w:ascii="宋体" w:hAnsi="宋体" w:eastAsia="宋体" w:cs="宋体"/>
          <w:color w:val="000000"/>
          <w:kern w:val="0"/>
          <w:sz w:val="24"/>
          <w:szCs w:val="24"/>
        </w:rPr>
        <w:t>(TOEFL)</w:t>
      </w:r>
      <w:r>
        <w:rPr>
          <w:rFonts w:hint="eastAsia" w:ascii="宋体" w:hAnsi="宋体" w:eastAsia="宋体" w:cs="宋体"/>
          <w:color w:val="000000"/>
          <w:kern w:val="0"/>
          <w:sz w:val="24"/>
          <w:szCs w:val="24"/>
        </w:rPr>
        <w:t>笔试总成绩达</w:t>
      </w:r>
      <w:r>
        <w:rPr>
          <w:rFonts w:hint="eastAsia" w:ascii="宋体" w:hAnsi="宋体" w:eastAsia="宋体" w:cs="宋体"/>
          <w:color w:val="000000"/>
          <w:kern w:val="0"/>
          <w:sz w:val="24"/>
          <w:szCs w:val="24"/>
        </w:rPr>
        <w:t> 550 </w:t>
      </w:r>
      <w:r>
        <w:rPr>
          <w:rFonts w:hint="eastAsia" w:ascii="宋体" w:hAnsi="宋体" w:eastAsia="宋体" w:cs="宋体"/>
          <w:color w:val="000000"/>
          <w:kern w:val="0"/>
          <w:sz w:val="24"/>
          <w:szCs w:val="24"/>
        </w:rPr>
        <w:t>分</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托福新版纸笔考试总成绩达</w:t>
      </w:r>
      <w:r>
        <w:rPr>
          <w:rFonts w:hint="eastAsia" w:ascii="宋体" w:hAnsi="宋体" w:eastAsia="宋体" w:cs="宋体"/>
          <w:color w:val="000000"/>
          <w:kern w:val="0"/>
          <w:sz w:val="24"/>
          <w:szCs w:val="24"/>
        </w:rPr>
        <w:t> 59 </w:t>
      </w:r>
      <w:r>
        <w:rPr>
          <w:rFonts w:hint="eastAsia" w:ascii="宋体" w:hAnsi="宋体" w:eastAsia="宋体" w:cs="宋体"/>
          <w:color w:val="000000"/>
          <w:kern w:val="0"/>
          <w:sz w:val="24"/>
          <w:szCs w:val="24"/>
        </w:rPr>
        <w:t>分</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rPr>
        <w:t>托福网考总成绩达</w:t>
      </w:r>
      <w:r>
        <w:rPr>
          <w:rFonts w:hint="eastAsia" w:ascii="宋体" w:hAnsi="宋体" w:eastAsia="宋体" w:cs="宋体"/>
          <w:color w:val="000000"/>
          <w:kern w:val="0"/>
          <w:sz w:val="24"/>
          <w:szCs w:val="24"/>
        </w:rPr>
        <w:t> 79 </w:t>
      </w:r>
      <w:r>
        <w:rPr>
          <w:rFonts w:hint="eastAsia" w:ascii="宋体" w:hAnsi="宋体" w:eastAsia="宋体" w:cs="宋体"/>
          <w:color w:val="000000"/>
          <w:kern w:val="0"/>
          <w:sz w:val="24"/>
          <w:szCs w:val="24"/>
        </w:rPr>
        <w:t>分，或</w:t>
      </w:r>
      <w:r>
        <w:rPr>
          <w:rFonts w:hint="eastAsia" w:ascii="宋体" w:hAnsi="宋体" w:eastAsia="宋体" w:cs="宋体"/>
          <w:color w:val="000000"/>
          <w:kern w:val="0"/>
          <w:sz w:val="24"/>
          <w:szCs w:val="24"/>
        </w:rPr>
        <w:t> (ii) </w:t>
      </w:r>
      <w:r>
        <w:rPr>
          <w:rFonts w:hint="eastAsia" w:ascii="宋体" w:hAnsi="宋体" w:eastAsia="宋体" w:cs="宋体"/>
          <w:color w:val="000000"/>
          <w:kern w:val="0"/>
          <w:sz w:val="24"/>
          <w:szCs w:val="24"/>
        </w:rPr>
        <w:t>雅思国际英语水平测试</w:t>
      </w:r>
      <w:r>
        <w:rPr>
          <w:rFonts w:hint="eastAsia" w:ascii="宋体" w:hAnsi="宋体" w:eastAsia="宋体" w:cs="宋体"/>
          <w:color w:val="000000"/>
          <w:kern w:val="0"/>
          <w:sz w:val="24"/>
          <w:szCs w:val="24"/>
        </w:rPr>
        <w:t> (IELTS) </w:t>
      </w:r>
      <w:r>
        <w:rPr>
          <w:rFonts w:hint="eastAsia" w:ascii="宋体" w:hAnsi="宋体" w:eastAsia="宋体" w:cs="宋体"/>
          <w:color w:val="000000"/>
          <w:kern w:val="0"/>
          <w:sz w:val="24"/>
          <w:szCs w:val="24"/>
        </w:rPr>
        <w:t>总</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评</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级</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达</w:t>
      </w:r>
      <w:r>
        <w:rPr>
          <w:rFonts w:hint="eastAsia" w:ascii="宋体" w:hAnsi="宋体" w:eastAsia="宋体" w:cs="宋体"/>
          <w:color w:val="000000"/>
          <w:kern w:val="0"/>
          <w:sz w:val="24"/>
          <w:szCs w:val="24"/>
        </w:rPr>
        <w:t> 6.5 </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个</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别</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城</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大</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院</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系</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可</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订</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立</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更</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高</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要</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求</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详</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情</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请</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参</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阅</w:t>
      </w:r>
      <w:r>
        <w:rPr>
          <w:rFonts w:hint="eastAsia" w:ascii="宋体" w:hAnsi="宋体" w:eastAsia="宋体" w:cs="宋体"/>
          <w:color w:val="000000"/>
          <w:kern w:val="0"/>
          <w:sz w:val="24"/>
          <w:szCs w:val="24"/>
        </w:rPr>
        <w:t>https://www.cityu.edu.hk/pg/research-degree-programmes/entrance-requirements </w:t>
      </w:r>
      <w:r>
        <w:rPr>
          <w:rFonts w:hint="eastAsia" w:ascii="宋体" w:hAnsi="宋体" w:eastAsia="宋体" w:cs="宋体"/>
          <w:color w:val="000000"/>
          <w:kern w:val="0"/>
          <w:sz w:val="24"/>
          <w:szCs w:val="24"/>
        </w:rPr>
        <w:t>之</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rPr>
        <w:t>English Proficiency Requirement</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 </w:t>
      </w:r>
      <w:r>
        <w:rPr>
          <w:rFonts w:hint="eastAsia" w:ascii="宋体" w:hAnsi="宋体" w:eastAsia="宋体" w:cs="宋体"/>
          <w:color w:val="000000"/>
          <w:kern w:val="0"/>
          <w:sz w:val="24"/>
          <w:szCs w:val="24"/>
        </w:rPr>
        <w:t>部分。</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5. </w:t>
      </w:r>
      <w:r>
        <w:rPr>
          <w:rFonts w:hint="eastAsia" w:ascii="宋体" w:hAnsi="宋体" w:eastAsia="宋体" w:cs="宋体"/>
          <w:color w:val="000000"/>
          <w:kern w:val="0"/>
          <w:sz w:val="24"/>
          <w:szCs w:val="24"/>
        </w:rPr>
        <w:t>托福和雅思成绩从考试日期算起有效期为两年</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成绩必须在提交申请时有效。</w:t>
      </w:r>
    </w:p>
    <w:p>
      <w:pPr>
        <w:widowControl/>
        <w:spacing w:line="360" w:lineRule="auto"/>
        <w:jc w:val="left"/>
        <w:rPr>
          <w:rFonts w:hint="eastAsia" w:ascii="宋体" w:hAnsi="宋体" w:eastAsia="宋体" w:cs="宋体"/>
          <w:kern w:val="0"/>
          <w:sz w:val="24"/>
          <w:szCs w:val="24"/>
        </w:rPr>
      </w:pP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b/>
          <w:bCs/>
          <w:color w:val="000000"/>
          <w:kern w:val="0"/>
          <w:sz w:val="24"/>
          <w:szCs w:val="24"/>
        </w:rPr>
        <w:t>二.</w:t>
      </w:r>
      <w:r>
        <w:rPr>
          <w:rFonts w:hint="eastAsia" w:ascii="宋体" w:hAnsi="宋体" w:eastAsia="宋体" w:cs="宋体"/>
          <w:b/>
          <w:bCs/>
          <w:color w:val="000000"/>
          <w:kern w:val="0"/>
          <w:sz w:val="24"/>
          <w:szCs w:val="24"/>
        </w:rPr>
        <w:t> </w:t>
      </w:r>
      <w:r>
        <w:rPr>
          <w:rFonts w:hint="eastAsia" w:ascii="宋体" w:hAnsi="宋体" w:eastAsia="宋体" w:cs="宋体"/>
          <w:b/>
          <w:bCs/>
          <w:color w:val="000000"/>
          <w:kern w:val="0"/>
          <w:sz w:val="24"/>
          <w:szCs w:val="24"/>
        </w:rPr>
        <w:t>选拔学科领域</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两校下列已有博士学位授予权的学科领域。</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数学</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Mathematics</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机械工程</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Mechanics Engineering</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计算机科学与技术</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Computer Science and Technology</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建筑学</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Architecture</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土木工程</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Civil Engineering</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交通运输工程</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Transportation Engineering</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环境科学与工程</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Environmental Science and Engineering</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城乡规划学</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Urban and Rural Planning</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风景园林学</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Landscape Architecture</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软件工程</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Software Engineering</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管理科学与工程</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Management Science and Engineering</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设计学</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Design</w:t>
      </w:r>
    </w:p>
    <w:p>
      <w:pPr>
        <w:widowControl/>
        <w:spacing w:line="360" w:lineRule="auto"/>
        <w:jc w:val="left"/>
        <w:rPr>
          <w:rFonts w:hint="eastAsia" w:ascii="宋体" w:hAnsi="宋体" w:eastAsia="宋体" w:cs="宋体"/>
          <w:kern w:val="0"/>
          <w:sz w:val="24"/>
          <w:szCs w:val="24"/>
        </w:rPr>
      </w:pP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b/>
          <w:bCs/>
          <w:color w:val="000000"/>
          <w:kern w:val="0"/>
          <w:sz w:val="24"/>
          <w:szCs w:val="24"/>
        </w:rPr>
        <w:t>三.</w:t>
      </w:r>
      <w:r>
        <w:rPr>
          <w:rFonts w:hint="eastAsia" w:ascii="宋体" w:hAnsi="宋体" w:eastAsia="宋体" w:cs="宋体"/>
          <w:b/>
          <w:bCs/>
          <w:color w:val="000000"/>
          <w:kern w:val="0"/>
          <w:sz w:val="24"/>
          <w:szCs w:val="24"/>
        </w:rPr>
        <w:t> </w:t>
      </w:r>
      <w:r>
        <w:rPr>
          <w:rFonts w:hint="eastAsia" w:ascii="宋体" w:hAnsi="宋体" w:eastAsia="宋体" w:cs="宋体"/>
          <w:b/>
          <w:bCs/>
          <w:color w:val="000000"/>
          <w:kern w:val="0"/>
          <w:sz w:val="24"/>
          <w:szCs w:val="24"/>
        </w:rPr>
        <w:t>学习地点与安排</w:t>
      </w:r>
    </w:p>
    <w:p>
      <w:pPr>
        <w:widowControl/>
        <w:spacing w:line="360" w:lineRule="auto"/>
        <w:ind w:firstLine="42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联合博士培养项目的修读年限一般为四年。原则上学生先在同济修读并完成公共必修课和学科基础课程，进入项目后按以下学习模式分别在同济、城大及城大深圳研究院三地，修读部分专业课及完成学位论文。</w:t>
      </w:r>
    </w:p>
    <w:tbl>
      <w:tblPr>
        <w:tblStyle w:val="3"/>
        <w:tblW w:w="0" w:type="auto"/>
        <w:tblCellSpacing w:w="0" w:type="dxa"/>
        <w:tblInd w:w="0" w:type="dxa"/>
        <w:tblLayout w:type="autofit"/>
        <w:tblCellMar>
          <w:top w:w="0" w:type="dxa"/>
          <w:left w:w="0" w:type="dxa"/>
          <w:bottom w:w="0" w:type="dxa"/>
          <w:right w:w="0" w:type="dxa"/>
        </w:tblCellMar>
      </w:tblPr>
      <w:tblGrid>
        <w:gridCol w:w="3345"/>
        <w:gridCol w:w="3495"/>
      </w:tblGrid>
      <w:tr>
        <w:tblPrEx>
          <w:tblCellMar>
            <w:top w:w="0" w:type="dxa"/>
            <w:left w:w="0" w:type="dxa"/>
            <w:bottom w:w="0" w:type="dxa"/>
            <w:right w:w="0" w:type="dxa"/>
          </w:tblCellMar>
        </w:tblPrEx>
        <w:trPr>
          <w:trHeight w:val="90" w:hRule="atLeast"/>
          <w:tblCellSpacing w:w="0" w:type="dxa"/>
        </w:trPr>
        <w:tc>
          <w:tcPr>
            <w:tcW w:w="334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b/>
                <w:bCs/>
                <w:color w:val="000000"/>
                <w:kern w:val="0"/>
                <w:sz w:val="24"/>
                <w:szCs w:val="24"/>
              </w:rPr>
              <w:t>学年</w:t>
            </w:r>
          </w:p>
        </w:tc>
        <w:tc>
          <w:tcPr>
            <w:tcW w:w="3495"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b/>
                <w:bCs/>
                <w:color w:val="000000"/>
                <w:kern w:val="0"/>
                <w:sz w:val="24"/>
                <w:szCs w:val="24"/>
              </w:rPr>
              <w:t>学习地点</w:t>
            </w:r>
          </w:p>
        </w:tc>
      </w:tr>
      <w:tr>
        <w:tblPrEx>
          <w:tblCellMar>
            <w:top w:w="0" w:type="dxa"/>
            <w:left w:w="0" w:type="dxa"/>
            <w:bottom w:w="0" w:type="dxa"/>
            <w:right w:w="0" w:type="dxa"/>
          </w:tblCellMar>
        </w:tblPrEx>
        <w:trPr>
          <w:tblCellSpacing w:w="0" w:type="dxa"/>
        </w:trPr>
        <w:tc>
          <w:tcPr>
            <w:tcW w:w="3345"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第一学年</w:t>
            </w:r>
          </w:p>
        </w:tc>
        <w:tc>
          <w:tcPr>
            <w:tcW w:w="3495" w:type="dxa"/>
            <w:tcBorders>
              <w:top w:val="nil"/>
              <w:left w:val="nil"/>
              <w:bottom w:val="single" w:color="auto" w:sz="6" w:space="0"/>
              <w:right w:val="single" w:color="auto" w:sz="6" w:space="0"/>
            </w:tcBorders>
            <w:tcMar>
              <w:top w:w="0" w:type="dxa"/>
              <w:left w:w="105" w:type="dxa"/>
              <w:bottom w:w="0" w:type="dxa"/>
              <w:right w:w="105" w:type="dxa"/>
            </w:tcMa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同济</w:t>
            </w:r>
          </w:p>
        </w:tc>
      </w:tr>
      <w:tr>
        <w:tblPrEx>
          <w:tblCellMar>
            <w:top w:w="0" w:type="dxa"/>
            <w:left w:w="0" w:type="dxa"/>
            <w:bottom w:w="0" w:type="dxa"/>
            <w:right w:w="0" w:type="dxa"/>
          </w:tblCellMar>
        </w:tblPrEx>
        <w:trPr>
          <w:tblCellSpacing w:w="0" w:type="dxa"/>
        </w:trPr>
        <w:tc>
          <w:tcPr>
            <w:tcW w:w="6840"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b/>
                <w:bCs/>
                <w:color w:val="000000"/>
                <w:kern w:val="0"/>
                <w:sz w:val="24"/>
                <w:szCs w:val="24"/>
              </w:rPr>
              <w:t>于 城 大 注 册 进 入 联 培 计 划</w:t>
            </w:r>
          </w:p>
        </w:tc>
      </w:tr>
      <w:tr>
        <w:tblPrEx>
          <w:tblCellMar>
            <w:top w:w="0" w:type="dxa"/>
            <w:left w:w="0" w:type="dxa"/>
            <w:bottom w:w="0" w:type="dxa"/>
            <w:right w:w="0" w:type="dxa"/>
          </w:tblCellMar>
        </w:tblPrEx>
        <w:trPr>
          <w:tblCellSpacing w:w="0" w:type="dxa"/>
        </w:trPr>
        <w:tc>
          <w:tcPr>
            <w:tcW w:w="3345"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第二学年</w:t>
            </w:r>
          </w:p>
        </w:tc>
        <w:tc>
          <w:tcPr>
            <w:tcW w:w="3495" w:type="dxa"/>
            <w:tcBorders>
              <w:top w:val="nil"/>
              <w:left w:val="nil"/>
              <w:bottom w:val="single" w:color="auto" w:sz="6" w:space="0"/>
              <w:right w:val="single" w:color="auto" w:sz="6" w:space="0"/>
            </w:tcBorders>
            <w:tcMar>
              <w:top w:w="0" w:type="dxa"/>
              <w:left w:w="105" w:type="dxa"/>
              <w:bottom w:w="0" w:type="dxa"/>
              <w:right w:w="105" w:type="dxa"/>
            </w:tcMa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城大</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(香港本部)</w:t>
            </w:r>
          </w:p>
        </w:tc>
      </w:tr>
      <w:tr>
        <w:tblPrEx>
          <w:tblCellMar>
            <w:top w:w="0" w:type="dxa"/>
            <w:left w:w="0" w:type="dxa"/>
            <w:bottom w:w="0" w:type="dxa"/>
            <w:right w:w="0" w:type="dxa"/>
          </w:tblCellMar>
        </w:tblPrEx>
        <w:trPr>
          <w:tblCellSpacing w:w="0" w:type="dxa"/>
        </w:trPr>
        <w:tc>
          <w:tcPr>
            <w:tcW w:w="3345"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第三学年</w:t>
            </w:r>
          </w:p>
        </w:tc>
        <w:tc>
          <w:tcPr>
            <w:tcW w:w="3495" w:type="dxa"/>
            <w:tcBorders>
              <w:top w:val="nil"/>
              <w:left w:val="nil"/>
              <w:bottom w:val="single" w:color="auto" w:sz="6" w:space="0"/>
              <w:right w:val="single" w:color="auto" w:sz="6" w:space="0"/>
            </w:tcBorders>
            <w:tcMar>
              <w:top w:w="0" w:type="dxa"/>
              <w:left w:w="105" w:type="dxa"/>
              <w:bottom w:w="0" w:type="dxa"/>
              <w:right w:w="105" w:type="dxa"/>
            </w:tcMa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城大深圳研究院</w:t>
            </w:r>
          </w:p>
        </w:tc>
      </w:tr>
      <w:tr>
        <w:tblPrEx>
          <w:tblCellMar>
            <w:top w:w="0" w:type="dxa"/>
            <w:left w:w="0" w:type="dxa"/>
            <w:bottom w:w="0" w:type="dxa"/>
            <w:right w:w="0" w:type="dxa"/>
          </w:tblCellMar>
        </w:tblPrEx>
        <w:trPr>
          <w:trHeight w:val="300" w:hRule="atLeast"/>
          <w:tblCellSpacing w:w="0" w:type="dxa"/>
        </w:trPr>
        <w:tc>
          <w:tcPr>
            <w:tcW w:w="3345"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第四学年</w:t>
            </w:r>
          </w:p>
        </w:tc>
        <w:tc>
          <w:tcPr>
            <w:tcW w:w="3495" w:type="dxa"/>
            <w:tcBorders>
              <w:top w:val="nil"/>
              <w:left w:val="nil"/>
              <w:bottom w:val="single" w:color="auto" w:sz="6" w:space="0"/>
              <w:right w:val="single" w:color="auto" w:sz="6" w:space="0"/>
            </w:tcBorders>
            <w:tcMar>
              <w:top w:w="0" w:type="dxa"/>
              <w:left w:w="105" w:type="dxa"/>
              <w:bottom w:w="0" w:type="dxa"/>
              <w:right w:w="105" w:type="dxa"/>
            </w:tcMa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同济</w:t>
            </w:r>
          </w:p>
        </w:tc>
      </w:tr>
    </w:tbl>
    <w:p>
      <w:pPr>
        <w:widowControl/>
        <w:spacing w:line="360" w:lineRule="auto"/>
        <w:jc w:val="left"/>
        <w:rPr>
          <w:rFonts w:hint="eastAsia" w:ascii="宋体" w:hAnsi="宋体" w:eastAsia="宋体" w:cs="宋体"/>
          <w:kern w:val="0"/>
          <w:sz w:val="24"/>
          <w:szCs w:val="24"/>
        </w:rPr>
      </w:pP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b/>
          <w:bCs/>
          <w:color w:val="000000"/>
          <w:kern w:val="0"/>
          <w:sz w:val="24"/>
          <w:szCs w:val="24"/>
        </w:rPr>
        <w:t>四.</w:t>
      </w:r>
      <w:r>
        <w:rPr>
          <w:rFonts w:hint="eastAsia" w:ascii="宋体" w:hAnsi="宋体" w:eastAsia="宋体" w:cs="宋体"/>
          <w:b/>
          <w:bCs/>
          <w:color w:val="000000"/>
          <w:kern w:val="0"/>
          <w:sz w:val="24"/>
          <w:szCs w:val="24"/>
        </w:rPr>
        <w:t> </w:t>
      </w:r>
      <w:r>
        <w:rPr>
          <w:rFonts w:hint="eastAsia" w:ascii="宋体" w:hAnsi="宋体" w:eastAsia="宋体" w:cs="宋体"/>
          <w:b/>
          <w:bCs/>
          <w:color w:val="000000"/>
          <w:kern w:val="0"/>
          <w:sz w:val="24"/>
          <w:szCs w:val="24"/>
        </w:rPr>
        <w:t>申请程序</w:t>
      </w:r>
    </w:p>
    <w:p>
      <w:pPr>
        <w:widowControl/>
        <w:spacing w:line="360" w:lineRule="auto"/>
        <w:ind w:firstLine="4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请符合申请资格的同学仔细阅读计划指引，以英文填写</w:t>
      </w:r>
      <w:r>
        <w:rPr>
          <w:rFonts w:hint="eastAsia" w:ascii="宋体" w:hAnsi="宋体" w:eastAsia="宋体" w:cs="宋体"/>
          <w:color w:val="000000"/>
          <w:kern w:val="0"/>
          <w:sz w:val="24"/>
          <w:szCs w:val="24"/>
          <w:lang w:val="en-US" w:eastAsia="zh-CN"/>
        </w:rPr>
        <w:t>附件</w:t>
      </w:r>
      <w:r>
        <w:rPr>
          <w:rFonts w:hint="eastAsia" w:ascii="宋体" w:hAnsi="宋体" w:eastAsia="宋体" w:cs="宋体"/>
          <w:color w:val="000000"/>
          <w:kern w:val="0"/>
          <w:sz w:val="24"/>
          <w:szCs w:val="24"/>
        </w:rPr>
        <w:t>文件并于</w:t>
      </w:r>
      <w:r>
        <w:rPr>
          <w:rFonts w:hint="eastAsia" w:ascii="宋体" w:hAnsi="宋体" w:eastAsia="宋体" w:cs="宋体"/>
          <w:color w:val="000000"/>
          <w:kern w:val="0"/>
          <w:sz w:val="24"/>
          <w:szCs w:val="24"/>
        </w:rPr>
        <w:t> 2021 年 12 月 17 日</w:t>
      </w:r>
      <w:r>
        <w:rPr>
          <w:rFonts w:hint="eastAsia" w:ascii="宋体" w:hAnsi="宋体" w:eastAsia="宋体" w:cs="宋体"/>
          <w:color w:val="000000"/>
          <w:kern w:val="0"/>
          <w:sz w:val="24"/>
          <w:szCs w:val="24"/>
        </w:rPr>
        <w:t>前交至学院项目负责老师转交研究生院</w:t>
      </w:r>
      <w:r>
        <w:rPr>
          <w:rFonts w:hint="eastAsia" w:ascii="宋体" w:hAnsi="宋体" w:eastAsia="宋体" w:cs="宋体"/>
          <w:color w:val="000000"/>
          <w:kern w:val="0"/>
          <w:sz w:val="24"/>
          <w:szCs w:val="24"/>
          <w:lang w:val="en-US" w:eastAsia="zh-CN"/>
        </w:rPr>
        <w:t>,具体材料如下(</w:t>
      </w:r>
      <w:r>
        <w:rPr>
          <w:rFonts w:hint="eastAsia" w:ascii="宋体" w:hAnsi="宋体" w:eastAsia="宋体" w:cs="宋体"/>
          <w:b/>
          <w:bCs/>
          <w:color w:val="000000"/>
          <w:kern w:val="0"/>
          <w:sz w:val="24"/>
          <w:szCs w:val="24"/>
          <w:lang w:val="en-US" w:eastAsia="zh-CN"/>
        </w:rPr>
        <w:t>表格见附件</w:t>
      </w:r>
      <w:r>
        <w:rPr>
          <w:rFonts w:hint="eastAsia" w:ascii="宋体" w:hAnsi="宋体" w:eastAsia="宋体" w:cs="宋体"/>
          <w:color w:val="000000"/>
          <w:kern w:val="0"/>
          <w:sz w:val="24"/>
          <w:szCs w:val="24"/>
          <w:lang w:val="en-US" w:eastAsia="zh-CN"/>
        </w:rPr>
        <w:t>）：</w:t>
      </w:r>
    </w:p>
    <w:p>
      <w:pPr>
        <w:widowControl/>
        <w:spacing w:line="360" w:lineRule="auto"/>
        <w:ind w:firstLine="4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联合培养博士生个人资料表格</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(Personal Particulars for Admission to the Joint PhD</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Programme Offered by City)</w:t>
      </w:r>
    </w:p>
    <w:p>
      <w:pPr>
        <w:widowControl/>
        <w:spacing w:line="360" w:lineRule="auto"/>
        <w:ind w:firstLine="4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联合培养博士研究生同意书</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(Joint Research Statement for Joint PhD Programme of Mainland Collaboration Schemes)</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w:t>
      </w:r>
    </w:p>
    <w:p>
      <w:pPr>
        <w:widowControl/>
        <w:spacing w:line="360" w:lineRule="auto"/>
        <w:ind w:firstLine="420"/>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联合培养博士生推荐书</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(Recommendation on Admission to the Joint PhD Programme Offered by CityU)； 及内地合作大学导师的英文版个人简历</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(CV in English of the Research Supervisor at home university)</w:t>
      </w:r>
      <w:r>
        <w:rPr>
          <w:rFonts w:hint="eastAsia" w:ascii="宋体" w:hAnsi="宋体" w:eastAsia="宋体" w:cs="宋体"/>
          <w:color w:val="000000"/>
          <w:kern w:val="0"/>
          <w:sz w:val="24"/>
          <w:szCs w:val="24"/>
          <w:lang w:eastAsia="zh-CN"/>
        </w:rPr>
        <w:t>；</w:t>
      </w:r>
    </w:p>
    <w:p>
      <w:pPr>
        <w:widowControl/>
        <w:spacing w:line="360" w:lineRule="auto"/>
        <w:ind w:firstLine="420"/>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同济大学研究生境外交流项目申请预审表（非国际会议类）</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完成填写相关信息后提交，由申报人本人签字、导师签字、学院学工领导对申请人进行政审签字并加盖学院党委公章、学院国家公派研究生项目负责领导签字并加盖学院章</w:t>
      </w:r>
      <w:r>
        <w:rPr>
          <w:rFonts w:hint="eastAsia" w:ascii="宋体" w:hAnsi="宋体" w:eastAsia="宋体" w:cs="宋体"/>
          <w:color w:val="000000"/>
          <w:kern w:val="0"/>
          <w:sz w:val="24"/>
          <w:szCs w:val="24"/>
          <w:lang w:eastAsia="zh-CN"/>
        </w:rPr>
        <w:t>；</w:t>
      </w:r>
    </w:p>
    <w:p>
      <w:pPr>
        <w:widowControl/>
        <w:spacing w:line="360" w:lineRule="auto"/>
        <w:ind w:firstLine="42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申请人汇总表。</w:t>
      </w:r>
    </w:p>
    <w:p>
      <w:pPr>
        <w:widowControl/>
        <w:spacing w:line="360" w:lineRule="auto"/>
        <w:ind w:firstLine="4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个人</w:t>
      </w:r>
      <w:r>
        <w:rPr>
          <w:rFonts w:hint="eastAsia" w:ascii="宋体" w:hAnsi="宋体" w:eastAsia="宋体" w:cs="宋体"/>
          <w:color w:val="000000"/>
          <w:kern w:val="0"/>
          <w:sz w:val="24"/>
          <w:szCs w:val="24"/>
        </w:rPr>
        <w:t>申请需经同济和城大导师、相关院系审核，</w:t>
      </w:r>
      <w:r>
        <w:rPr>
          <w:rFonts w:hint="eastAsia" w:ascii="宋体" w:hAnsi="宋体" w:eastAsia="宋体" w:cs="宋体"/>
          <w:color w:val="000000"/>
          <w:kern w:val="0"/>
          <w:sz w:val="24"/>
          <w:szCs w:val="24"/>
          <w:lang w:val="en-US" w:eastAsia="zh-CN"/>
        </w:rPr>
        <w:t>并由研究生院</w:t>
      </w:r>
      <w:r>
        <w:rPr>
          <w:rFonts w:hint="eastAsia" w:ascii="宋体" w:hAnsi="宋体" w:eastAsia="宋体" w:cs="宋体"/>
          <w:color w:val="000000"/>
          <w:kern w:val="0"/>
          <w:sz w:val="24"/>
          <w:szCs w:val="24"/>
        </w:rPr>
        <w:t>交至香港城市大学周亦卿研究生院。城大收到同济的推荐名单及上述文件后，将以邮件方式联系申请人登入城大入学申请系统以填妥网上申请及上载相关文件证明，详情请参阅 “香港城市大学联合培养博士研究生课程申请程序”。</w:t>
      </w:r>
    </w:p>
    <w:p>
      <w:pPr>
        <w:widowControl/>
        <w:spacing w:line="360" w:lineRule="auto"/>
        <w:ind w:firstLine="420"/>
        <w:jc w:val="left"/>
        <w:rPr>
          <w:rFonts w:hint="eastAsia" w:ascii="宋体" w:hAnsi="宋体" w:eastAsia="宋体" w:cs="宋体"/>
          <w:kern w:val="0"/>
          <w:sz w:val="24"/>
          <w:szCs w:val="24"/>
        </w:rPr>
      </w:pP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b/>
          <w:bCs/>
          <w:color w:val="000000"/>
          <w:kern w:val="0"/>
          <w:sz w:val="24"/>
          <w:szCs w:val="24"/>
        </w:rPr>
        <w:t>五.</w:t>
      </w:r>
      <w:r>
        <w:rPr>
          <w:rFonts w:hint="eastAsia" w:ascii="宋体" w:hAnsi="宋体" w:eastAsia="宋体" w:cs="宋体"/>
          <w:b/>
          <w:bCs/>
          <w:color w:val="000000"/>
          <w:kern w:val="0"/>
          <w:sz w:val="24"/>
          <w:szCs w:val="24"/>
        </w:rPr>
        <w:t> </w:t>
      </w:r>
      <w:r>
        <w:rPr>
          <w:rFonts w:hint="eastAsia" w:ascii="宋体" w:hAnsi="宋体" w:eastAsia="宋体" w:cs="宋体"/>
          <w:b/>
          <w:bCs/>
          <w:color w:val="000000"/>
          <w:kern w:val="0"/>
          <w:sz w:val="24"/>
          <w:szCs w:val="24"/>
        </w:rPr>
        <w:t>项目录取</w:t>
      </w:r>
    </w:p>
    <w:p>
      <w:pPr>
        <w:widowControl/>
        <w:spacing w:line="360" w:lineRule="auto"/>
        <w:ind w:firstLine="42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两校将对申请人的材料进行审核并择优遴选。若有需要，亦会安排学生面试。录取结果将于202</w:t>
      </w: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rPr>
        <w:t>月中旬书面通知申请者。</w:t>
      </w:r>
    </w:p>
    <w:p>
      <w:pPr>
        <w:widowControl/>
        <w:spacing w:line="360" w:lineRule="auto"/>
        <w:ind w:firstLine="4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如有申请意向或疑问，可邮件联系国际联合培养办公室（pyc@tongji.edu.cn，65981601</w:t>
      </w:r>
      <w:r>
        <w:rPr>
          <w:rFonts w:hint="eastAsia" w:ascii="宋体" w:hAnsi="宋体" w:eastAsia="宋体" w:cs="宋体"/>
          <w:color w:val="000000"/>
          <w:kern w:val="0"/>
          <w:sz w:val="24"/>
          <w:szCs w:val="24"/>
        </w:rPr>
        <w:t>）咨询项目详情。也可联系香港城市大学周亦卿研究生院</w:t>
      </w: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rPr>
        <w:t>(sgmainland@cityu.edu.hk，</w:t>
      </w:r>
      <w:r>
        <w:rPr>
          <w:rFonts w:hint="eastAsia" w:ascii="宋体" w:hAnsi="宋体" w:eastAsia="宋体" w:cs="宋体"/>
          <w:color w:val="000000"/>
          <w:kern w:val="0"/>
          <w:sz w:val="24"/>
          <w:szCs w:val="24"/>
        </w:rPr>
        <w:t>852 3442-9076）。</w:t>
      </w:r>
    </w:p>
    <w:p>
      <w:pPr>
        <w:widowControl/>
        <w:spacing w:line="360" w:lineRule="auto"/>
        <w:ind w:firstLine="420"/>
        <w:jc w:val="left"/>
        <w:rPr>
          <w:rFonts w:hint="eastAsia" w:ascii="宋体" w:hAnsi="宋体" w:eastAsia="宋体" w:cs="宋体"/>
          <w:color w:val="0000FF"/>
          <w:kern w:val="0"/>
          <w:sz w:val="24"/>
          <w:szCs w:val="24"/>
        </w:rPr>
      </w:pPr>
    </w:p>
    <w:p>
      <w:pPr>
        <w:widowControl/>
        <w:spacing w:line="360" w:lineRule="auto"/>
        <w:ind w:firstLine="420"/>
        <w:jc w:val="left"/>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FF"/>
          <w:kern w:val="0"/>
          <w:sz w:val="24"/>
          <w:szCs w:val="24"/>
          <w:lang w:val="en-US" w:eastAsia="zh-CN"/>
        </w:rPr>
        <w:t xml:space="preserve">                                           </w:t>
      </w:r>
      <w:r>
        <w:rPr>
          <w:rFonts w:hint="eastAsia" w:ascii="宋体" w:hAnsi="宋体" w:eastAsia="宋体" w:cs="宋体"/>
          <w:b/>
          <w:bCs/>
          <w:color w:val="0000FF"/>
          <w:kern w:val="0"/>
          <w:sz w:val="24"/>
          <w:szCs w:val="24"/>
          <w:lang w:val="en-US" w:eastAsia="zh-CN"/>
        </w:rPr>
        <w:t xml:space="preserve">    </w:t>
      </w:r>
      <w:r>
        <w:rPr>
          <w:rFonts w:hint="eastAsia" w:ascii="宋体" w:hAnsi="宋体" w:eastAsia="宋体" w:cs="宋体"/>
          <w:b/>
          <w:bCs/>
          <w:color w:val="000000" w:themeColor="text1"/>
          <w:kern w:val="0"/>
          <w:sz w:val="24"/>
          <w:szCs w:val="24"/>
          <w:lang w:val="en-US" w:eastAsia="zh-CN"/>
          <w14:textFill>
            <w14:solidFill>
              <w14:schemeClr w14:val="tx1"/>
            </w14:solidFill>
          </w14:textFill>
        </w:rPr>
        <w:t xml:space="preserve"> 研究生院</w:t>
      </w:r>
    </w:p>
    <w:p>
      <w:pPr>
        <w:widowControl/>
        <w:spacing w:line="360" w:lineRule="auto"/>
        <w:ind w:firstLine="420"/>
        <w:jc w:val="left"/>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 xml:space="preserve">                                             2021年11月1日</w:t>
      </w:r>
    </w:p>
    <w:p>
      <w:pPr>
        <w:spacing w:line="360" w:lineRule="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79A"/>
    <w:rsid w:val="009C7B6D"/>
    <w:rsid w:val="00AD079A"/>
    <w:rsid w:val="00C66647"/>
    <w:rsid w:val="00CD6DEF"/>
    <w:rsid w:val="00F920A6"/>
    <w:rsid w:val="6747614A"/>
    <w:rsid w:val="6EA14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Emphasis"/>
    <w:basedOn w:val="4"/>
    <w:qFormat/>
    <w:uiPriority w:val="20"/>
    <w:rPr>
      <w:i/>
      <w:i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tongji</Company>
  <Pages>2</Pages>
  <Words>301</Words>
  <Characters>1716</Characters>
  <Lines>14</Lines>
  <Paragraphs>4</Paragraphs>
  <TotalTime>59</TotalTime>
  <ScaleCrop>false</ScaleCrop>
  <LinksUpToDate>false</LinksUpToDate>
  <CharactersWithSpaces>2013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2021-10-28T07:54:00Z</dcterms:created>
  <dc:creator>yuanyuan</dc:creator>
  <cp:lastModifiedBy>yuan yuan</cp:lastModifiedBy>
  <dcterms:modified xsi:type="dcterms:W3CDTF">2021-11-01T09:33:33Z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A6318A8AA13043E99C84B1CB704B18E7</vt:lpwstr>
  </property>
</Properties>
</file>